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199</w:t>
      </w:r>
    </w:p>
    <w:p>
      <w:r>
        <w:t>Bundesgericht (BGE), 2011-06-01, DE</w:t>
      </w:r>
    </w:p>
    <w:p>
      <w:r>
        <w:rPr>
          <w:b/>
        </w:rPr>
        <w:t xml:space="preserve">Quelle: </w:t>
      </w:r>
      <w:r>
        <w:t>https://mcp.opencaselaw.ch/entscheid/bge_137 V 199</w:t>
      </w:r>
    </w:p>
    <w:p>
      <w:r>
        <w:t>FR: ATF 137 V 199</w:t>
      </w:r>
    </w:p>
    <w:p>
      <w:r>
        <w:t>IT: DTF 137 V 199</w:t>
      </w:r>
    </w:p>
    <w:p>
      <w:pPr>
        <w:pStyle w:val="Heading2"/>
      </w:pPr>
      <w:r>
        <w:t>Regeste</w:t>
      </w:r>
    </w:p>
    <w:p>
      <w:r>
        <w:t>Regeste Art. 10, 16 f. und 19 Abs. 1 UVG; Heilbehandlung und Taggeld; Fallabschluss; Schleudertrauma. Bei der Beurteilung des Anspruchs auf Heilbehandlung und Taggeld nach dem UVG (und damit verbunden des Zeitpunktes des Fallabschlusses) kommt die Rechtsprechung gemäss BGE 130 V 352 nicht zur Anwendung. Das gilt, trotz BGE 136 V 279, auch bei HWS-Distorsionstraumen (Schleudertraumen) ohne organisch objektiv ausgewiesene Funktionsausfälle (E. 2.2).</w:t>
      </w:r>
    </w:p>
    <w:p>
      <w:pPr>
        <w:pStyle w:val="Heading2"/>
      </w:pPr>
      <w:r>
        <w:t>Erwägungen</w:t>
      </w:r>
    </w:p>
    <w:p>
      <w:r>
        <w:rPr>
          <w:b/>
        </w:rPr>
        <w:t>E. 2</w:t>
      </w:r>
    </w:p>
    <w:p>
      <w:r>
        <w:t>Streitig und zu prüfen ist zunächst, ob die Versicherte aus dem Unfall vom 28. Oktober 2001 über den 31. März 2008 hinaus Anspruch auf Heilbehandlung und Taggeld hat.</w:t>
      </w:r>
    </w:p>
    <w:p>
      <w:r>
        <w:rPr>
          <w:b/>
        </w:rPr>
        <w:t>E. 2.1</w:t>
      </w:r>
    </w:p>
    <w:p>
      <w:r>
        <w:t>Ein weiterer Anspruch auf die vorübergehenden UV-Leistungen Heilbehandlung ( Art. 10 UVG [SR 832.20]) und Taggeld (Art. 16 f. UVG) setzt nach Gesetz und Praxis voraus, dass von einer Fortsetzung der ärztlichen Behandlung noch eine namhafte Besserung des - unfallbedingt beeinträchtigten - Gesundheitszustandes erwartet werden kann oder dass noch Eingliederungsmassnahmen der IV laufen. Trifft beides nicht (mehr) zu, hat der Versicherer den Fall unter Einstellung der vorübergehenden Leistungen abzuschliessen und den Anspruch auf eine Invalidenrente und auf eine BGE 137 V 199 S. 202 Integritätsentschädigung zu prüfen ( Art. 19 Abs. 1 UVG ; BGE 134 V 109 E. 4 S. 113 ff.). Der Taggeldanspruch erlischt auch beim Wegfall seiner Anspruchsvoraussetzung der Arbeitsunfähigkeit, somit im Zeitpunkt der vollen Wiedererlangung der Fähigkeit, im bisherigen oder in einem anderen Beruf zumutbare Arbeit zu leisten ( Art. 16 Abs. 1 und 2 UVG i.V.m. Art. 6 ATSG [SR 830.1]).</w:t>
      </w:r>
    </w:p>
    <w:p>
      <w:r>
        <w:rPr>
          <w:b/>
        </w:rPr>
        <w:t>E. 2.2</w:t>
      </w:r>
    </w:p>
    <w:p>
      <w:r>
        <w:t>Das kantonale Gericht ist zumindest sinngemäss davon ausgegangen, der weitere Anspruch auf Heilbehandlung und Taggeld der UV und damit der Zeitpunkt des Fallabschlusses beurteile sich auch danach, ob die noch bestehenden Beschwerden mit zumutbarer Willensanstrengung überwindbar seien. Es bezieht sich mit dieser Begründung auf die mit BGE 130 V 352 im Hinblick auf die IV-Rentenberechtigung begründete Rechtsprechung zur invalidisierenden Wirkung anhaltender somatoformer Schmerzstörungen. Danach vermag eine solche Schmerzstörung nur ausnahmsweise, unter bestimmten Voraussetzungen, eine lang dauernde, zu einer Invalidität im Sinne von Art. 4 IVG führende Invalidität zu begründen. Als Voraussetzungen wurden genannt: (1) chronische körperliche Begleiterkrankungen und mehrjähriger Krankheitsverlauf bei unveränderter oder progredienter Symptomatik ohne längerfristige Remission; (2) ein ausgewiesener sozialer Rückzug in allen Belangen des Lebens; (3) ein verfestigter, therapeutisch nicht mehr angehbarer innerseelischer Verlauf einer an sich missglückten, psychisch aber entlastenden Konfliktbewältigung; (4) unbefriedigende Behandlungsergebnisse trotz konsequent durchgeführter ambulanter und/oder stationärer Behandlungsbemühungen (auch mit unterschiedlichem therapeutischem Ansatz) und gescheiterte Rehabilitationsmassnahmen bei vorhandener Motivation und Eigenanstrengung der versicherten Person. Diese Rechtsprechung kann unter die Begriffe Schmerzstörungspraxis, Zumutbarkeitspraxis oder - wie dies nachfolgend geschieht - Überwindbarkeitspraxis gefasst werden. Sie hat mit dazu beigetragen, dass im Rahmen der 5. IV-Revision auf formellgesetzlicher Ebene neu bestimmt wurde, dass eine Erwerbsunfähigkeit nur vorliegt, wenn sie aus objektiver Sicht nicht überwindbar ist (Art. 7 Abs. 2 zweiter Satz ATSG, in Kraft seit 1. Januar 2008; Botschaft vom 22. Juni 2005 zur Änderung des Bundesgesetzes über die Invalidenversicherung [5. Revision], BBl 2005 4459 ff., 4530 f. Ziff. 1.6.1.5.3 a/cc). BGE 137 V 199 S. 203 Im unlängst ergangenen Urteil 9C_510/2009 vom 30. August 2010 ( BGE 136 V 279 ) hat das Bundesgericht, ebenfalls im Hinblick auf einen IV-Rentenanspruch, entschieden, dass die Überwindbarkeitspraxis sinngemäss auch dann anwendbar ist, wenn es um die invalidisierende Wirkung einer "spezifischen und unfalladäquaten HWS-Verletzung (Schleudertrauma) ohne organisch nachweisbare Funktionsausfälle" geht.</w:t>
      </w:r>
    </w:p>
    <w:p>
      <w:r>
        <w:rPr>
          <w:b/>
        </w:rPr>
        <w:t>E. 2.2.1</w:t>
      </w:r>
    </w:p>
    <w:p>
      <w:r>
        <w:t>Das Bundesgericht hatte sich bislang nicht mit der Frage zu befassen, ob die Überwindbarkeitspraxis bei Schleudertrauma-Fällen auf die vorübergehenden UV-Leistungen Heilbehandlung und Taggeld sinngemäss anwendbar sein soll. Es hat lediglich und ohne weitergehende Begründung im Urteil 8C_121/2010 vom 18. Oktober 2010 festgehalten, BGE 136 V 279 habe an den Grundsätzen zum Zeitpunkt des Fallabschlusses (E. 2.1 hievor) nichts geändert. Im Anschluss an BGE 136 V 279 wurde die Frage der sinngemässen Anwendbarkeit der Überwindbarkeitspraxis auf verschiedene Leistungsarten der UV und weiterer Sozialversicherungszweige in mehreren Kommentaren teils kontrovers diskutiert (vgl. namentlich die Aufsätze verschiedener Autoren, HAVE 2011 S. 53 ff. und 86 f.; UELI KIESER, Entwicklungen im Sozialversicherungsrecht [Schwerpunkt: Leistungen], in: Personen-Schaden-Forum 2011, S. 259 ff.).</w:t>
      </w:r>
    </w:p>
    <w:p>
      <w:r>
        <w:rPr>
          <w:b/>
        </w:rPr>
        <w:t>E. 2.2.2</w:t>
      </w:r>
    </w:p>
    <w:p>
      <w:r>
        <w:t>Dabei wurde, soweit ersichtlich, einhellig davon ausgegangen, die Überwindbarkeitspraxis sei auch bei Schleudertraumen nicht auf die Beurteilung des Anspruchs auf Heilbehandlung nach Art. 10 UVG übertragbar (vgl. THOMAS GÄCHTER, Grundsätzliche Einordnung von BGE 136 V 279 , HAVE 2011 S. 55 ff., 58; KIESER, a.a.O., S. 276 f.; MARKUS HÜSLER, BGE 136 V 279 : Auswirkungen auf die Unfallversicherung, HAVE 2011 S. 59 ff., 63). Das ist richtig und ergibt sich schon daraus, dass die Überwindbarkeitspraxis die Frage der invalidisierenden Wirkung einer Gesundheitsschädigung, mithin deren Auswirkungen auf die Erwerbsfähigkeit, beschlägt (Art. 7 Abs. 2 zweiter Satz ATSG; BGE 136 V 279 ; BGE 130 V 352 ). Demgegenüber besteht nach Art. 10 Abs. 1 Ingress UVG Anspruch "auf die zweckmässige Behandlung der Unfallfolgen". Der damit gewählte Gesichtspunkt hat keine Berührung mit dem Invaliditätsbegriff (vgl. KIESER, a.a.O., S. 276 f.). Sodann besteht mit den Kriterien betreffend Abschluss allfälliger IV-Eingliederungsmassnahmen und gesundheitliches Besserungspotential ein sachgerechtes Instrumentarium, um die Heilbehandlung nach Art. 10 UVG BGE 137 V 199 S. 204 zeitlich begrenzen zu können. Damit wird auch deren Charakter als vorübergehende Leistung ( BGE 134 V 109 E. 4.1 S. 114; BGE 133 V 57 E. 6.6.2 S. 64) Rechnung getragen, ohne dass es noch eines Differenzierungsmerkmals im Sinne der Überwindbarkeitsregelung bedürfte.</w:t>
      </w:r>
    </w:p>
    <w:p>
      <w:r>
        <w:rPr>
          <w:b/>
        </w:rPr>
        <w:t>E. 2.2.3</w:t>
      </w:r>
    </w:p>
    <w:p>
      <w:r>
        <w:t>Divergierende Auffassungen finden sich in den Kommentaren zur Frage, ob die Überwindbarkeitspraxis in Schleudertrauma-Fällen sinngemäss auf den Taggeldanspruch nach Art. 16 f. UVG angewendet werden soll. Nach der - namentlich auf das erwähnte Urteil 8C_121/2010 abgestützten - Auffassung von HÜSLER, a.a.O., S. 63 trifft dies nicht zu. Demgegenüber leitet KIESER, a.a.O., S. 277 f. mit Fn. 85-87 aus BGE 136 V 279 - im Zusammenhang mit Art. 28 Abs. 1 lit. b IVG und BGE 134 V 109 E. 9.4 S. 124 unten - ab, dass ein Taggeldanspruch regelmässig nach einer Frist von zwölf Monaten nicht mehr bestehe und nur ausnahmsweise mehr als sechs Monate andauern könne.</w:t>
      </w:r>
    </w:p>
    <w:p>
      <w:r>
        <w:rPr>
          <w:b/>
        </w:rPr>
        <w:t>E. 2.2.3.1</w:t>
      </w:r>
    </w:p>
    <w:p>
      <w:r>
        <w:t>BGE 136 V 279 äussert sich, wie GÄCHTER, a.a.O., S. 58 zutreffend erkannt hat, nicht zum Taggeldanspruch. Gleiches gilt für BGE 130 V 352 . Beide Entscheide sind ausschliesslich zum Anspruch auf eine Invalidenrente der IV ergangen. Dieser Rentenanspruch, wie auch derjenige aus der obligatorischen Unfallversicherung ( Art. 18 ff. UVG ), weist zwar Berührungspunkte zum Anspruch auf Taggeld nach Art. 16 f. UVG auf. Namentlich geht es bei beiden Leistungsarten darum, den finanziellen Einbussen, welche sich aufgrund leidensbedingter Einschränkung des Leistungsvermögens ergeben, mit Geldzahlungen zu begegnen. Es bestehen aber auch erhebliche Unterschiede. So gilt die - auf unbestimmte Zeit zugesprochene - Invalidenrente als klassische Dauerleistung, während das Taggeld nur vorübergehenden Charakter aufweist ( BGE 134 V 109 E. 4.1 S. 114; BGE 133 V 57 E. 6.6.1 S. 63). Der Rentenanspruch ist mithin auf dauerhafte Verhältnisse ausgerichtet und setzt solche auch voraus, während der Taggeldanspruch flexibler ausgestaltet ist und dadurch bei Veränderungen vergleichsweise einfach angepasst werden kann. Im Bereich der UV findet diese Differenzierung ihren Niederschlag vor allem auch in der gesetzlichen Regelung, dass das Taggeld (u.a.) mit dem Beginn der Rente eingestellt wird (Art. 16 Abs. 2 und Art. 19 Abs. 1 zweiter Satz UVG), Letztere mithin Ersteres ablöst. Stattfinden soll dies - wie bei der Heilbehandlung -, wenn von der Fortsetzung der ärztlichen Behandlung keine BGE 137 V 199 S. 205 namhafte Besserung des - unfallbedingt beeinträchtigten - Gesundheitszustandes mehr erwartet werden kann und allfällige Eingliederungsmassnahmen der IV abgeschlossen sind (Art. 19 Abs. 1 erster Satz UVG).</w:t>
      </w:r>
    </w:p>
    <w:p>
      <w:r>
        <w:rPr>
          <w:b/>
        </w:rPr>
        <w:t>E. 2.2.3.2</w:t>
      </w:r>
    </w:p>
    <w:p>
      <w:r>
        <w:t>Der Gesetzgeber hat den Gesichtspunkt der Überwindbarkeit zwar in Art. 7 Abs. 2 ATSG aufgenommen, welche Bestimmung die Erwerbsunfähigkeit und damit den Rentenanspruch betrifft, hingegen davon abgesehen, dies auch in den Bestimmungen zur UV-taggeldbestimmenden Arbeitsunfähigkeit (namentlich Art. 16 f. UVG; Art. 6 ATSG ) zu tun. Es besteht keine begründete Veranlassung, die Überwindbarkeitspraxis dennoch auch auf das UV-Taggeld anzuwenden. BGE 136 V 279 E. 3.1 geht von der bisherigen - mit Bezug auf die obligatorische Unfallversicherung entwickelten und auch für die Invalidenversicherung massgebenden - Rechtsprechung aus, gemäss welcher eine bei einem Unfall erlittene Verletzung im Bereich der HWS auch ohne organisch nachweisbare (d.h. objektivierbare) Funktionsausfälle zu länger dauernden, die Arbeits- und Erwerbsfähigkeit beeinträchtigenden Beschwerden führen kann. Aus dem Fehlen organisch nachweisbarer Befunde lässt sich in solchen Fällen jedenfalls nicht direkt auf uneingeschränkte Arbeitsfähigkeit schliessen. Gemäss diesem Urteil ist hingegen das allfällige Vorliegen einer invalidisierenden Wirkung des Leidens sinngemäss nach der Rechtsprechung zu den anhaltenden somatoformen Schmerzstörungen ( BGE 130 V 352 ; s. oben Ingress E. 2.2) zu beurteilen. Die dabei zu beachtenden Kriterien zeichnen sich durch die Bezugnahme auf eine längere Zeitdauer aus ("chronisch", "mehrjährig", "längerfristig", verfestigt"), und sie setzen die Durchführung einer längeren - letztlich nicht erfolgreichen - Heilbehandlung voraus ("therapeutisch nicht mehr angehbar", "unbefriedigende Behandlungsergebnisse trotz konsequent durchgeführter ambulanter und/oder stationärer Behandlungsbemühungen [auch mit unterschiedlichem therapeutischem Ansatz] und gescheiterte Rehabilitationsmassnahmen"). Sowohl die Bezugnahme auf die Dauer als auch die Voraussetzung der durchgeführten Heilbehandlung verbieten es, die volle Wiedererlangung der Fähigkeit, im bisherigen oder in einem anderen Beruf zumutbare Arbeit zu leisten (E. 2.1 oben), sinngemäss nach der Rechtsprechung gemäss BGE 130 V 352 zu beurteilen. Daran vermögen Art. 21 Abs. 1 lit. b IVG und BGE 134 V 109 entgegen KIESER (a.a.O., S. 278 Fn. 85-87; E. 2.2.2 hievor) nichts zu BGE 137 V 199 S. 206 ändern. Gemäss der besagten IVG-Bestimmung setzt der Anspruch auf eine IV-Rente voraus, dass während eines Jahres eine Mindestarbeitsunfähigkeit bestanden hat. Mit diesem sog. Wartejahr wird das Entstehen des IV-Rentenanspruchs nach Massgabe der ausgewiesenen Arbeitsunfähigkeit in zeitbezogen normativer Weise definiert. Das heisst nun aber nicht, dass dieser Zwölfmonatsfrist auch im UV-Bereich Bedeutung zukommt. Dort steht vielmehr, anstelle eines in dieser Weise fixierten Zeitkriteriums, der Gesichtspunkt des relativ stabilen Gesundheitszustandes (vgl. hiezu: RKUV 2004 S. 265, U 105/03 E. 5.2.2 mit Hinweis) im Vordergrund. Dass ein Taggeldanspruch nur ausnahmsweise mehr als sechs Monate andauern soll, leitet KIESER aus der Erwägung in BGE 134 V 109 ab, wonach - im Streit um die Anwendbarkeit der besonderen Adäquanzbeurteilung gemäss der sog. Schleudertrauma-Praxis (nachfolgend nicht publ. E. 3.1) - bei länger dauernden Beschwerden, in der Regel nach rund sechs Monaten, eine polydisziplinäre/interdisziplinäre medizinische Begutachtung veranlasst werden soll ( BGE 134 V 109 E. 9.4 S. 124 f.). Damit wurde aber nicht gesagt, es sei deswegen von den, im gleichen Bundesgerichtsentscheid E. 4 S. 113 ff. umschriebenen, Grundsätzen zum Fallabschluss abzuweichen.</w:t>
      </w:r>
    </w:p>
    <w:p>
      <w:r>
        <w:rPr>
          <w:b/>
        </w:rPr>
        <w:t>E. 2.2.4</w:t>
      </w:r>
    </w:p>
    <w:p>
      <w:r>
        <w:t>Zusammenfassend ist festzuhalten, dass die Überwindbarkeitspraxis gemäss BGE 136 V 279 und BGE 130 V 352 auf den UV-Heilbehandlungs- und Taggeldanspruch, und damit auch auf den Zeitpunkt des Fallabschlusses, keine Anwendung findet. Damit kann auch offenbleiben, ob die Überwindbarkeitspraxis gemäss BGE 136 V 279 auf die Folgen eines - bei der Beschwerdeführerin nicht mit überwiegender Wahrscheinlichkeit nachgewiesenen - Schädel-Hirntraumas überhaupt anwendbar wäre.</w:t>
      </w:r>
    </w:p>
    <w:p>
      <w:r>
        <w:rPr>
          <w:b/>
        </w:rPr>
        <w:t>E. 2.3</w:t>
      </w:r>
    </w:p>
    <w:p>
      <w:r>
        <w:t>Für den vorliegenden Fall ergibt sich im Sinne der in E. 2.1 dargelegten Grundsätze Folgendes:</w:t>
      </w:r>
    </w:p>
    <w:p>
      <w:r>
        <w:rPr>
          <w:b/>
        </w:rPr>
        <w:t>E. 2.3.1</w:t>
      </w:r>
    </w:p>
    <w:p>
      <w:r>
        <w:t>Eingliederungsmassnahmen der IV stehen nicht zur Diskussion. Massgeblich ist demnach, ob von einer Fortsetzung der ärztlichen Behandlung eine namhafte Besserung des Gesundheitszustandes erwartet werden konnte.</w:t>
      </w:r>
    </w:p>
    <w:p>
      <w:r>
        <w:rPr>
          <w:b/>
        </w:rPr>
        <w:t>E. 2.3.2</w:t>
      </w:r>
    </w:p>
    <w:p>
      <w:r>
        <w:t>Die Experten des Begutachtungsinstituts Y. führten im Gutachten vom 6. Dezember 2007 aus, es bestehe derzeit kein Behandlungsbedarf. Jedoch werde die Wiederaufnahme der Physiotherapie zur Rekonditionierung und das Erlernen von Entspannungstechniken empfohlen. An anderer Stelle in der Expertise (und im BGE 137 V 199 S. 207 Nachtrag vom 31. Januar 2008) wurde überdies vorgeschlagen, auch Schmerz- und antidepressive Medikation auszutesten. Zudem könnte die Versicherte von einer kognitiv-verhaltenstherapeutischen-psychotherapeutischen Begleitung zur Verbesserung der Krankheitsbewältigung profitieren. Diese Aussagen der Gutachter des Begutachtungsinstituts Y. sprechen dagegen, dass eine Fortsetzung ärztlicher Behandlung angezeigt war, geschweige denn noch eine namhafte Besserung erwarten liess. Letzteres wird durch die übrigen medizinischen Akten ebenfalls nicht gestützt. Das gilt auch für den Bericht der Frau Dr. med. S. vom 11. Februar 2008. Darin wurden zwar weitere Therapien angeregt. Die Neurologin bestätigte aber nicht, dass diese eine namhafte Besserung versprachen. Dies wäre denn auch mit Blick auf die seit dem Unfall verstrichene Zeit und den Umstand, dass gemäss der Ärztin die bis dahin durchgeführten Behandlungen keine wesentliche Besserung erbracht hatten, als unwahrscheinlich zu betrachten. Die Helsana hat daher die Heilbehandlung und das Taggeld zu Recht eingestellt. Weiterer medizinischer Abklärungen bedarf es entgegen der in der Beschwerde vertretenen Auffassung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